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83CED6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仿宋_GB2312" w:hAnsi="宋体" w:eastAsia="仿宋_GB2312" w:cs="宋体"/>
          <w:sz w:val="32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28"/>
          <w:lang w:val="en-US" w:eastAsia="zh-CN"/>
        </w:rPr>
        <w:t>附件2</w:t>
      </w:r>
    </w:p>
    <w:p w14:paraId="075AEEFE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就业赛道方案</w:t>
      </w:r>
    </w:p>
    <w:p w14:paraId="37C4B2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</w:pPr>
      <w:r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  <w:t>一、比赛内容</w:t>
      </w:r>
    </w:p>
    <w:p w14:paraId="76DA8E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"/>
        </w:rPr>
        <w:t>考察学生的简历制作、能力展现等求职实战能力，个人发展路径与经济社会发展需要的适应度，就业能力与职业目标和岗位要求的契合度。</w:t>
      </w:r>
    </w:p>
    <w:p w14:paraId="14153E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</w:pPr>
      <w:r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  <w:t>二、参赛组别和对象</w:t>
      </w:r>
    </w:p>
    <w:p w14:paraId="2091A5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就业赛道参赛对象为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我校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在校学生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。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高教组面向普通本科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2025、2026届毕业生</w:t>
      </w: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，职教组面向专科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2025、2026届毕业生。</w:t>
      </w:r>
    </w:p>
    <w:p w14:paraId="65E811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320" w:firstLineChars="100"/>
        <w:textAlignment w:val="auto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  <w:t>三、参赛材料要求</w:t>
      </w:r>
    </w:p>
    <w:p w14:paraId="524B98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选手在大赛平台（网址：zgs.chsi.com.cn）提交以下参赛材料：</w:t>
      </w:r>
    </w:p>
    <w:p w14:paraId="1AB05C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（一）求职简历（PDF格式）。</w:t>
      </w:r>
    </w:p>
    <w:p w14:paraId="5358A63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就业能力展示（PPT格式，不超过50MB）。</w:t>
      </w:r>
    </w:p>
    <w:p w14:paraId="1C844F5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辅助证明材料，包括实践、实习、获奖等证明材料（PDF格式，整合为单个文件，不超过50MB）。</w:t>
      </w:r>
    </w:p>
    <w:p w14:paraId="54A2868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200" w:firstLine="320" w:firstLineChars="100"/>
        <w:textAlignment w:val="auto"/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</w:pPr>
      <w:r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  <w:t>比赛环节</w:t>
      </w:r>
    </w:p>
    <w:p w14:paraId="5B6CDA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（一）学院初赛（11月20日-12月10日）。各学院自行组织学院初赛，参考评分标准择优推荐选手进入校级选拔赛。(各学院名额另行通知)</w:t>
      </w:r>
    </w:p>
    <w:p w14:paraId="7D4306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（二）学校初评（12月11-20日）。学校组织专家对选手提交的参赛作品进行网上作品评分，确定校级一、二、三等奖，颁发学校证书。</w:t>
      </w:r>
    </w:p>
    <w:p w14:paraId="64464B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（三）校级选拔（12月21-31日）。学校组织作品评分一等奖的同学开展现场展示评分，择优推荐入围山东省复赛，内容如下。</w:t>
      </w:r>
    </w:p>
    <w:p w14:paraId="4FD47F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1.主题陈述(5分钟):选手结合求职综合展示PPT,陈述个人求职意向和职业准备情况。</w:t>
      </w:r>
    </w:p>
    <w:p w14:paraId="3878BB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2.综合面试(5分钟):评委根据评审标准设置的问题向选手提问并评分。</w:t>
      </w:r>
    </w:p>
    <w:p w14:paraId="270C95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300"/>
        <w:textAlignment w:val="auto"/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</w:pPr>
      <w:r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  <w:t>五、评审标准</w:t>
      </w:r>
    </w:p>
    <w:p w14:paraId="23737F48">
      <w:pPr>
        <w:jc w:val="left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（一）学院初赛和学校初评评分指标</w:t>
      </w:r>
    </w:p>
    <w:p w14:paraId="022142C7">
      <w:pPr>
        <w:jc w:val="left"/>
        <w:rPr>
          <w:rFonts w:hint="default" w:ascii="仿宋_GB2312" w:hAnsi="宋体" w:eastAsia="仿宋_GB2312" w:cs="宋体"/>
          <w:kern w:val="0"/>
          <w:sz w:val="32"/>
          <w:szCs w:val="28"/>
          <w:lang w:val="en-US" w:eastAsia="zh-CN" w:bidi="ar"/>
        </w:rPr>
      </w:pPr>
    </w:p>
    <w:tbl>
      <w:tblPr>
        <w:tblStyle w:val="4"/>
        <w:tblW w:w="0" w:type="auto"/>
        <w:tblInd w:w="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5450"/>
        <w:gridCol w:w="1387"/>
      </w:tblGrid>
      <w:tr w14:paraId="06C9C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8" w:type="dxa"/>
          </w:tcPr>
          <w:p w14:paraId="7DC1CF8C">
            <w:pPr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指标内容</w:t>
            </w:r>
          </w:p>
        </w:tc>
        <w:tc>
          <w:tcPr>
            <w:tcW w:w="5450" w:type="dxa"/>
          </w:tcPr>
          <w:p w14:paraId="7BD44E72">
            <w:pPr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说 明</w:t>
            </w:r>
          </w:p>
        </w:tc>
        <w:tc>
          <w:tcPr>
            <w:tcW w:w="1387" w:type="dxa"/>
          </w:tcPr>
          <w:p w14:paraId="6ED9D1F3">
            <w:pPr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分值</w:t>
            </w:r>
          </w:p>
        </w:tc>
      </w:tr>
      <w:tr w14:paraId="28B72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1938" w:type="dxa"/>
            <w:vAlign w:val="center"/>
          </w:tcPr>
          <w:p w14:paraId="632545B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求职简历</w:t>
            </w:r>
          </w:p>
        </w:tc>
        <w:tc>
          <w:tcPr>
            <w:tcW w:w="5450" w:type="dxa"/>
            <w:vAlign w:val="center"/>
          </w:tcPr>
          <w:p w14:paraId="193DD840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基本信息清晰准确；教育背景和成绩能与应聘岗位匹配；实习经历分条列举结构清晰；求职岗位目标明确；荣誉、技能证书、自我评价能体现自身优势。</w:t>
            </w:r>
          </w:p>
        </w:tc>
        <w:tc>
          <w:tcPr>
            <w:tcW w:w="1387" w:type="dxa"/>
            <w:vAlign w:val="center"/>
          </w:tcPr>
          <w:p w14:paraId="12068FB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</w:tr>
      <w:tr w14:paraId="16EB8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938" w:type="dxa"/>
            <w:vAlign w:val="center"/>
          </w:tcPr>
          <w:p w14:paraId="60E919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能力展示PPT</w:t>
            </w:r>
          </w:p>
        </w:tc>
        <w:tc>
          <w:tcPr>
            <w:tcW w:w="5450" w:type="dxa"/>
            <w:vAlign w:val="center"/>
          </w:tcPr>
          <w:p w14:paraId="0A8A14CC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能通过PPT清晰展现出本人求职目标、学习实践实习等经历、获奖情况概括以及其他能力。</w:t>
            </w:r>
          </w:p>
        </w:tc>
        <w:tc>
          <w:tcPr>
            <w:tcW w:w="1387" w:type="dxa"/>
            <w:vAlign w:val="center"/>
          </w:tcPr>
          <w:p w14:paraId="200EA7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30</w:t>
            </w:r>
          </w:p>
        </w:tc>
      </w:tr>
      <w:tr w14:paraId="5E4E7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</w:trPr>
        <w:tc>
          <w:tcPr>
            <w:tcW w:w="1938" w:type="dxa"/>
            <w:vAlign w:val="center"/>
          </w:tcPr>
          <w:p w14:paraId="1B84F9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能力展示视频</w:t>
            </w:r>
          </w:p>
        </w:tc>
        <w:tc>
          <w:tcPr>
            <w:tcW w:w="5450" w:type="dxa"/>
            <w:vAlign w:val="center"/>
          </w:tcPr>
          <w:p w14:paraId="3E883392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50MB以内，衣装得体，能通过视频较好的展示出本人求职各方面基本能力，应聘某岗位的能力。</w:t>
            </w:r>
          </w:p>
        </w:tc>
        <w:tc>
          <w:tcPr>
            <w:tcW w:w="1387" w:type="dxa"/>
            <w:vAlign w:val="center"/>
          </w:tcPr>
          <w:p w14:paraId="570833C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25</w:t>
            </w:r>
          </w:p>
        </w:tc>
      </w:tr>
      <w:tr w14:paraId="51209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938" w:type="dxa"/>
            <w:vAlign w:val="center"/>
          </w:tcPr>
          <w:p w14:paraId="0D87B6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辅助证明材料</w:t>
            </w:r>
          </w:p>
        </w:tc>
        <w:tc>
          <w:tcPr>
            <w:tcW w:w="5450" w:type="dxa"/>
            <w:vAlign w:val="center"/>
          </w:tcPr>
          <w:p w14:paraId="49D2D875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文件PDF格式，相关证书能佐证求职匹配度和自身能力。</w:t>
            </w:r>
          </w:p>
        </w:tc>
        <w:tc>
          <w:tcPr>
            <w:tcW w:w="1387" w:type="dxa"/>
            <w:vAlign w:val="center"/>
          </w:tcPr>
          <w:p w14:paraId="0656EE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20</w:t>
            </w:r>
          </w:p>
        </w:tc>
      </w:tr>
    </w:tbl>
    <w:p w14:paraId="01E37A67">
      <w:pPr>
        <w:jc w:val="left"/>
        <w:rPr>
          <w:rFonts w:hint="eastAsia" w:ascii="仿宋_GB2312" w:hAnsi="宋体" w:eastAsia="仿宋_GB2312" w:cs="宋体"/>
          <w:kern w:val="0"/>
          <w:sz w:val="18"/>
          <w:szCs w:val="18"/>
          <w:lang w:val="en-US" w:eastAsia="zh-CN" w:bidi="ar"/>
        </w:rPr>
      </w:pPr>
    </w:p>
    <w:p w14:paraId="42D941DA">
      <w:pPr>
        <w:jc w:val="left"/>
        <w:rPr>
          <w:rFonts w:hint="eastAsia" w:ascii="仿宋_GB2312" w:hAnsi="宋体" w:eastAsia="仿宋_GB2312" w:cs="宋体"/>
          <w:kern w:val="0"/>
          <w:sz w:val="18"/>
          <w:szCs w:val="18"/>
          <w:lang w:val="en-US" w:eastAsia="zh-CN" w:bidi="ar"/>
        </w:rPr>
      </w:pPr>
    </w:p>
    <w:p w14:paraId="1028D2C3">
      <w:pPr>
        <w:jc w:val="left"/>
        <w:rPr>
          <w:rFonts w:hint="eastAsia" w:ascii="仿宋_GB2312" w:hAnsi="宋体" w:eastAsia="仿宋_GB2312" w:cs="宋体"/>
          <w:kern w:val="0"/>
          <w:sz w:val="18"/>
          <w:szCs w:val="18"/>
          <w:lang w:val="en-US" w:eastAsia="zh-CN" w:bidi="ar"/>
        </w:rPr>
      </w:pPr>
    </w:p>
    <w:p w14:paraId="3715E81F">
      <w:pPr>
        <w:jc w:val="left"/>
        <w:rPr>
          <w:rFonts w:hint="eastAsia" w:ascii="仿宋_GB2312" w:hAnsi="宋体" w:eastAsia="仿宋_GB2312" w:cs="宋体"/>
          <w:kern w:val="0"/>
          <w:sz w:val="18"/>
          <w:szCs w:val="18"/>
          <w:lang w:val="en-US" w:eastAsia="zh-CN" w:bidi="ar"/>
        </w:rPr>
      </w:pPr>
    </w:p>
    <w:p w14:paraId="5BA11359">
      <w:pPr>
        <w:jc w:val="left"/>
        <w:rPr>
          <w:rFonts w:hint="eastAsia" w:ascii="仿宋_GB2312" w:hAnsi="宋体" w:eastAsia="仿宋_GB2312" w:cs="宋体"/>
          <w:kern w:val="0"/>
          <w:sz w:val="18"/>
          <w:szCs w:val="18"/>
          <w:lang w:val="en-US" w:eastAsia="zh-CN" w:bidi="ar"/>
        </w:rPr>
      </w:pPr>
    </w:p>
    <w:p w14:paraId="170469D2">
      <w:pPr>
        <w:jc w:val="left"/>
        <w:rPr>
          <w:rFonts w:hint="eastAsia" w:ascii="仿宋_GB2312" w:hAnsi="宋体" w:eastAsia="仿宋_GB2312" w:cs="宋体"/>
          <w:kern w:val="0"/>
          <w:sz w:val="18"/>
          <w:szCs w:val="18"/>
          <w:lang w:val="en-US" w:eastAsia="zh-CN" w:bidi="ar"/>
        </w:rPr>
      </w:pPr>
    </w:p>
    <w:p w14:paraId="671EC876">
      <w:pPr>
        <w:jc w:val="left"/>
        <w:rPr>
          <w:rFonts w:hint="eastAsia" w:ascii="仿宋_GB2312" w:hAnsi="宋体" w:eastAsia="仿宋_GB2312" w:cs="宋体"/>
          <w:kern w:val="0"/>
          <w:sz w:val="18"/>
          <w:szCs w:val="18"/>
          <w:lang w:val="en-US" w:eastAsia="zh-CN" w:bidi="ar"/>
        </w:rPr>
      </w:pPr>
      <w:bookmarkStart w:id="0" w:name="_GoBack"/>
      <w:bookmarkEnd w:id="0"/>
    </w:p>
    <w:p w14:paraId="1EC358D6">
      <w:pPr>
        <w:numPr>
          <w:ilvl w:val="0"/>
          <w:numId w:val="3"/>
        </w:numPr>
        <w:jc w:val="left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校级选拔评分指标</w:t>
      </w:r>
    </w:p>
    <w:p w14:paraId="40491BEB">
      <w:pPr>
        <w:numPr>
          <w:ilvl w:val="0"/>
          <w:numId w:val="0"/>
        </w:numPr>
        <w:jc w:val="left"/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</w:pPr>
    </w:p>
    <w:tbl>
      <w:tblPr>
        <w:tblStyle w:val="4"/>
        <w:tblW w:w="0" w:type="auto"/>
        <w:tblInd w:w="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5450"/>
        <w:gridCol w:w="1387"/>
      </w:tblGrid>
      <w:tr w14:paraId="02B46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38" w:type="dxa"/>
          </w:tcPr>
          <w:p w14:paraId="3D7CB076">
            <w:pPr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指标内容</w:t>
            </w:r>
          </w:p>
        </w:tc>
        <w:tc>
          <w:tcPr>
            <w:tcW w:w="5450" w:type="dxa"/>
          </w:tcPr>
          <w:p w14:paraId="3D8F1082">
            <w:pPr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说 明</w:t>
            </w:r>
          </w:p>
        </w:tc>
        <w:tc>
          <w:tcPr>
            <w:tcW w:w="1387" w:type="dxa"/>
          </w:tcPr>
          <w:p w14:paraId="64CA36AA">
            <w:pPr>
              <w:jc w:val="center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val="en-US" w:eastAsia="zh-CN" w:bidi="ar"/>
              </w:rPr>
              <w:t>分值</w:t>
            </w:r>
          </w:p>
        </w:tc>
      </w:tr>
      <w:tr w14:paraId="0D20F7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938" w:type="dxa"/>
            <w:vMerge w:val="restart"/>
            <w:vAlign w:val="center"/>
          </w:tcPr>
          <w:p w14:paraId="74221C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职业目标</w:t>
            </w:r>
          </w:p>
        </w:tc>
        <w:tc>
          <w:tcPr>
            <w:tcW w:w="5450" w:type="dxa"/>
            <w:vAlign w:val="center"/>
          </w:tcPr>
          <w:p w14:paraId="76601638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能够结合就业市场需求和个人所学专业、能力及兴趣等特点，合理设定职业目标。</w:t>
            </w:r>
          </w:p>
        </w:tc>
        <w:tc>
          <w:tcPr>
            <w:tcW w:w="1387" w:type="dxa"/>
            <w:vAlign w:val="center"/>
          </w:tcPr>
          <w:p w14:paraId="4C48711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  <w:tr w14:paraId="0D78F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938" w:type="dxa"/>
            <w:vMerge w:val="continue"/>
            <w:vAlign w:val="center"/>
          </w:tcPr>
          <w:p w14:paraId="372E09F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5450" w:type="dxa"/>
            <w:vAlign w:val="center"/>
          </w:tcPr>
          <w:p w14:paraId="2833AE27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准确把握目标职业的任职要求、工作内容、基本流程和发展前景等。</w:t>
            </w:r>
          </w:p>
        </w:tc>
        <w:tc>
          <w:tcPr>
            <w:tcW w:w="1387" w:type="dxa"/>
            <w:vAlign w:val="center"/>
          </w:tcPr>
          <w:p w14:paraId="010623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</w:tr>
      <w:tr w14:paraId="4EF6A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938" w:type="dxa"/>
            <w:vMerge w:val="restart"/>
            <w:vAlign w:val="center"/>
          </w:tcPr>
          <w:p w14:paraId="2C8FEED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岗位胜任力</w:t>
            </w:r>
          </w:p>
        </w:tc>
        <w:tc>
          <w:tcPr>
            <w:tcW w:w="5450" w:type="dxa"/>
            <w:vAlign w:val="center"/>
          </w:tcPr>
          <w:p w14:paraId="67B3B1B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具备目标岗位所需综合素质，如思维认知、沟通协作能力和执行力等，具有敬业奉献的职业精神。</w:t>
            </w:r>
          </w:p>
        </w:tc>
        <w:tc>
          <w:tcPr>
            <w:tcW w:w="1387" w:type="dxa"/>
            <w:vAlign w:val="center"/>
          </w:tcPr>
          <w:p w14:paraId="0CC2AB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40</w:t>
            </w:r>
          </w:p>
        </w:tc>
      </w:tr>
      <w:tr w14:paraId="72528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938" w:type="dxa"/>
            <w:vMerge w:val="continue"/>
            <w:vAlign w:val="center"/>
          </w:tcPr>
          <w:p w14:paraId="03E7C9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5450" w:type="dxa"/>
            <w:vAlign w:val="center"/>
          </w:tcPr>
          <w:p w14:paraId="35AB3D49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具备目标岗位所需的专业知识和技能要求，相关实习实践经历丰富，具备解决实际问题的专业能力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。</w:t>
            </w:r>
          </w:p>
        </w:tc>
        <w:tc>
          <w:tcPr>
            <w:tcW w:w="1387" w:type="dxa"/>
            <w:vAlign w:val="center"/>
          </w:tcPr>
          <w:p w14:paraId="06ED6A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40</w:t>
            </w:r>
          </w:p>
        </w:tc>
      </w:tr>
      <w:tr w14:paraId="47790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1938" w:type="dxa"/>
            <w:vAlign w:val="center"/>
          </w:tcPr>
          <w:p w14:paraId="63B16A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发展潜力</w:t>
            </w:r>
          </w:p>
        </w:tc>
        <w:tc>
          <w:tcPr>
            <w:tcW w:w="5450" w:type="dxa"/>
            <w:vAlign w:val="center"/>
          </w:tcPr>
          <w:p w14:paraId="58744815">
            <w:pPr>
              <w:jc w:val="left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具备持续学习能力创新精神和应对不确定性挑战发展潜力的潜质，适应未来职业发展要求;符合就业市场需求，现场获得用人单位提供的录用意向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"/>
              </w:rPr>
              <w:t>。</w:t>
            </w:r>
          </w:p>
        </w:tc>
        <w:tc>
          <w:tcPr>
            <w:tcW w:w="1387" w:type="dxa"/>
            <w:vAlign w:val="center"/>
          </w:tcPr>
          <w:p w14:paraId="3C093B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</w:tr>
    </w:tbl>
    <w:p w14:paraId="6F8262A1">
      <w:pPr>
        <w:rPr>
          <w:rFonts w:hint="default" w:eastAsiaTheme="minorEastAsia"/>
          <w:lang w:val="en-US" w:eastAsia="zh-CN"/>
        </w:rPr>
      </w:pPr>
    </w:p>
    <w:p w14:paraId="25AACA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宋体"/>
          <w:bCs/>
          <w:kern w:val="2"/>
          <w:sz w:val="32"/>
          <w:szCs w:val="28"/>
          <w:lang w:val="en-US" w:eastAsia="zh-CN" w:bidi="ar-SA"/>
        </w:rPr>
      </w:pPr>
      <w:r>
        <w:rPr>
          <w:rFonts w:hint="eastAsia" w:ascii="黑体" w:hAnsi="黑体" w:eastAsia="黑体" w:cs="宋体"/>
          <w:bCs/>
          <w:kern w:val="2"/>
          <w:sz w:val="32"/>
          <w:szCs w:val="28"/>
          <w:lang w:val="en-US" w:eastAsia="zh-CN" w:bidi="ar-SA"/>
        </w:rPr>
        <w:t>六、奖项设置</w:t>
      </w:r>
    </w:p>
    <w:p w14:paraId="3A113E4C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 w:firstLine="640" w:firstLineChars="200"/>
        <w:jc w:val="both"/>
        <w:textAlignment w:val="auto"/>
        <w:rPr>
          <w:rFonts w:hint="default" w:ascii="黑体" w:hAnsi="黑体" w:eastAsia="黑体" w:cs="宋体"/>
          <w:bCs/>
          <w:kern w:val="2"/>
          <w:sz w:val="32"/>
          <w:szCs w:val="28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28"/>
          <w:lang w:val="en-US" w:eastAsia="zh-CN" w:bidi="ar"/>
        </w:rPr>
        <w:t>就业赛道。一等奖10个、二等奖15个、三等奖20个。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D53D78"/>
    <w:multiLevelType w:val="singleLevel"/>
    <w:tmpl w:val="F2D53D78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7C75AEC"/>
    <w:multiLevelType w:val="singleLevel"/>
    <w:tmpl w:val="17C75AE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250805E"/>
    <w:multiLevelType w:val="singleLevel"/>
    <w:tmpl w:val="2250805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3601;&#19994;\Desktop\&#20851;&#20110;&#20030;&#21150;&#39318;&#23626;&#20840;&#22269;&#22823;&#23398;&#29983;&#32844;&#19994;&#35268;&#21010;&#22823;&#36187;&#26657;&#32423;&#36873;&#25300;&#36187;&#30340;&#36890;&#3069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